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C929" w14:textId="77777777" w:rsidR="00CF1133" w:rsidRDefault="00CF1133" w:rsidP="00CF1133">
      <w:pPr>
        <w:ind w:left="-710" w:firstLine="695"/>
        <w:rPr>
          <w:b/>
          <w:bCs/>
        </w:rPr>
      </w:pPr>
    </w:p>
    <w:p w14:paraId="0FDE180B" w14:textId="77777777" w:rsidR="00CF1133" w:rsidRDefault="00DB4CF8" w:rsidP="00CF1133">
      <w:pPr>
        <w:ind w:left="-710" w:firstLine="695"/>
      </w:pPr>
      <w:r>
        <w:rPr>
          <w:b/>
          <w:bCs/>
        </w:rPr>
        <w:t xml:space="preserve">Lancashire Enterprise Partnership Limited  </w:t>
      </w:r>
    </w:p>
    <w:p w14:paraId="564D1212" w14:textId="77777777" w:rsidR="00CF1133" w:rsidRPr="00BC4466" w:rsidRDefault="00DB4CF8" w:rsidP="00CF1133">
      <w:pPr>
        <w:spacing w:after="0" w:line="256" w:lineRule="auto"/>
        <w:ind w:left="0" w:firstLine="0"/>
        <w:rPr>
          <w:b/>
          <w:bCs/>
        </w:rPr>
      </w:pPr>
      <w:r w:rsidRPr="00BC4466">
        <w:rPr>
          <w:b/>
          <w:bCs/>
        </w:rPr>
        <w:t xml:space="preserve"> </w:t>
      </w:r>
    </w:p>
    <w:p w14:paraId="65BB1F98" w14:textId="77777777" w:rsidR="00BC4466" w:rsidRPr="00BC4466" w:rsidRDefault="00DB4CF8" w:rsidP="00CF1133">
      <w:pPr>
        <w:spacing w:after="0" w:line="256" w:lineRule="auto"/>
        <w:ind w:left="0" w:firstLine="0"/>
        <w:rPr>
          <w:b/>
          <w:bCs/>
        </w:rPr>
      </w:pPr>
      <w:r w:rsidRPr="00BC4466">
        <w:rPr>
          <w:b/>
        </w:rPr>
        <w:t xml:space="preserve">Private and Confidential: </w:t>
      </w:r>
      <w:r w:rsidR="0030005B">
        <w:rPr>
          <w:b/>
        </w:rPr>
        <w:t>No</w:t>
      </w:r>
    </w:p>
    <w:p w14:paraId="56B7E901" w14:textId="77777777" w:rsidR="00BC4466" w:rsidRDefault="00BC4466" w:rsidP="00CF1133">
      <w:pPr>
        <w:spacing w:after="0" w:line="256" w:lineRule="auto"/>
        <w:ind w:left="0" w:firstLine="0"/>
      </w:pPr>
    </w:p>
    <w:p w14:paraId="68729C95" w14:textId="77777777" w:rsidR="00A3358A" w:rsidRDefault="00DB4CF8"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Tuesday, 21 March 2023</w:t>
      </w:r>
      <w:r w:rsidR="00D45EFD">
        <w:fldChar w:fldCharType="end"/>
      </w:r>
    </w:p>
    <w:p w14:paraId="0FEDFC70" w14:textId="77777777" w:rsidR="00A3358A" w:rsidRDefault="00A3358A" w:rsidP="00A3358A"/>
    <w:p w14:paraId="37FA1547" w14:textId="77777777" w:rsidR="00A3358A" w:rsidRDefault="00DB4CF8"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Annual Performance Review 2023-24</w:t>
      </w:r>
      <w:r>
        <w:rPr>
          <w:rFonts w:eastAsia="Times New Roman" w:cs="Times New Roman"/>
          <w:b/>
          <w:color w:val="auto"/>
          <w:szCs w:val="20"/>
        </w:rPr>
        <w:fldChar w:fldCharType="end"/>
      </w:r>
    </w:p>
    <w:p w14:paraId="100F0E4D" w14:textId="77777777" w:rsidR="00D7480F" w:rsidRDefault="00DB4CF8" w:rsidP="00CF1133">
      <w:pPr>
        <w:spacing w:after="0" w:line="256" w:lineRule="auto"/>
        <w:ind w:left="0" w:firstLine="0"/>
      </w:pPr>
      <w:r>
        <w:t>(Appendix 'A' refers)</w:t>
      </w:r>
    </w:p>
    <w:p w14:paraId="2CA45AB8" w14:textId="77777777" w:rsidR="00EE5B17" w:rsidRDefault="00EE5B17" w:rsidP="00CF1133">
      <w:pPr>
        <w:spacing w:after="0" w:line="256" w:lineRule="auto"/>
        <w:ind w:left="0" w:firstLine="0"/>
      </w:pPr>
    </w:p>
    <w:p w14:paraId="383907E8" w14:textId="77777777" w:rsidR="00F41096" w:rsidRPr="00F41096" w:rsidRDefault="00DB4CF8"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Walker</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535629</w:t>
      </w:r>
      <w:r w:rsidR="006D629C">
        <w:rPr>
          <w:b/>
        </w:rPr>
        <w:fldChar w:fldCharType="end"/>
      </w:r>
      <w:r w:rsidRPr="00F41096">
        <w:rPr>
          <w:b/>
        </w:rPr>
        <w:t xml:space="preserve">, </w:t>
      </w:r>
    </w:p>
    <w:p w14:paraId="02481885" w14:textId="7A8E751E" w:rsidR="00CF1133" w:rsidRDefault="00DB4CF8" w:rsidP="00DB4CF8">
      <w:pPr>
        <w:ind w:right="-873"/>
        <w:rPr>
          <w:b/>
          <w:bCs/>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22E14F74" w14:textId="77777777" w:rsidR="00F95C8B" w:rsidRDefault="00F95C8B" w:rsidP="007F377B">
      <w:pPr>
        <w:ind w:left="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24A6" w14:paraId="1654DF26" w14:textId="77777777" w:rsidTr="00841251">
        <w:tc>
          <w:tcPr>
            <w:tcW w:w="9180" w:type="dxa"/>
          </w:tcPr>
          <w:p w14:paraId="38B1E445" w14:textId="77777777" w:rsidR="00F95C8B" w:rsidRDefault="00F95C8B" w:rsidP="00841251">
            <w:pPr>
              <w:pStyle w:val="Header"/>
            </w:pPr>
          </w:p>
          <w:p w14:paraId="1B8EEE5B" w14:textId="77777777" w:rsidR="00F95C8B" w:rsidRPr="00F95C8B" w:rsidRDefault="00DB4CF8" w:rsidP="00841251">
            <w:pPr>
              <w:pStyle w:val="Heading6"/>
              <w:rPr>
                <w:rFonts w:ascii="Arial" w:hAnsi="Arial"/>
                <w:b/>
                <w:color w:val="auto"/>
              </w:rPr>
            </w:pPr>
            <w:r w:rsidRPr="00F95C8B">
              <w:rPr>
                <w:rFonts w:ascii="Arial" w:hAnsi="Arial"/>
                <w:b/>
                <w:color w:val="auto"/>
              </w:rPr>
              <w:t>Executive Summary</w:t>
            </w:r>
          </w:p>
          <w:p w14:paraId="555AD0E1" w14:textId="77777777" w:rsidR="00F95C8B" w:rsidRPr="00F95C8B" w:rsidRDefault="00F95C8B" w:rsidP="00841251">
            <w:pPr>
              <w:rPr>
                <w:color w:val="auto"/>
              </w:rPr>
            </w:pPr>
          </w:p>
          <w:p w14:paraId="180C2DF1" w14:textId="77777777" w:rsidR="00F95C8B" w:rsidRDefault="00DB4CF8" w:rsidP="007F377B">
            <w:pPr>
              <w:ind w:left="0" w:firstLine="0"/>
              <w:jc w:val="both"/>
              <w:rPr>
                <w:color w:val="auto"/>
              </w:rPr>
            </w:pPr>
            <w:r>
              <w:rPr>
                <w:color w:val="auto"/>
              </w:rPr>
              <w:t>The Annual Performance Review is the Cities and Local Growth team's process for monitoring the governance, progress and performance of the 38 LEPs across England.</w:t>
            </w:r>
          </w:p>
          <w:p w14:paraId="264B471A" w14:textId="77777777" w:rsidR="0030005B" w:rsidRDefault="0030005B" w:rsidP="007F377B">
            <w:pPr>
              <w:ind w:left="0" w:firstLine="0"/>
              <w:jc w:val="both"/>
              <w:rPr>
                <w:color w:val="auto"/>
              </w:rPr>
            </w:pPr>
          </w:p>
          <w:p w14:paraId="30F36E0A" w14:textId="77777777" w:rsidR="001616A7" w:rsidRPr="00F95C8B" w:rsidRDefault="00DB4CF8" w:rsidP="007F377B">
            <w:pPr>
              <w:ind w:left="0" w:firstLine="0"/>
              <w:jc w:val="both"/>
              <w:rPr>
                <w:color w:val="auto"/>
              </w:rPr>
            </w:pPr>
            <w:r>
              <w:rPr>
                <w:color w:val="auto"/>
              </w:rPr>
              <w:t xml:space="preserve">In January, the </w:t>
            </w:r>
            <w:r>
              <w:rPr>
                <w:color w:val="auto"/>
              </w:rPr>
              <w:t>Lancashire Enterprise Partnership's Chief Executive Officer and Lancashire County Council's finance lead met with Paul Evans and Mick Allen from the Department for Levelling Up, Housing and Communities, to review and sign off the reports submitted on behal</w:t>
            </w:r>
            <w:r>
              <w:rPr>
                <w:color w:val="auto"/>
              </w:rPr>
              <w:t xml:space="preserve">f of the Lancashire Enterprise Partnership.  The official record of this meeting is attached as Appendix 'A' to this report. </w:t>
            </w:r>
          </w:p>
          <w:p w14:paraId="05D134F3" w14:textId="77777777" w:rsidR="00F95C8B" w:rsidRPr="00F95C8B" w:rsidRDefault="00F95C8B" w:rsidP="007F377B">
            <w:pPr>
              <w:jc w:val="both"/>
              <w:rPr>
                <w:color w:val="auto"/>
              </w:rPr>
            </w:pPr>
          </w:p>
          <w:p w14:paraId="45E91469" w14:textId="77777777" w:rsidR="00F95C8B" w:rsidRPr="00F95C8B" w:rsidRDefault="00DB4CF8" w:rsidP="007F377B">
            <w:pPr>
              <w:pStyle w:val="Heading5"/>
              <w:jc w:val="both"/>
              <w:rPr>
                <w:rFonts w:ascii="Arial" w:hAnsi="Arial"/>
                <w:b/>
                <w:color w:val="auto"/>
              </w:rPr>
            </w:pPr>
            <w:r w:rsidRPr="00F95C8B">
              <w:rPr>
                <w:rFonts w:ascii="Arial" w:hAnsi="Arial"/>
                <w:b/>
                <w:color w:val="auto"/>
              </w:rPr>
              <w:t>Recommendation</w:t>
            </w:r>
          </w:p>
          <w:p w14:paraId="19C0DA96" w14:textId="77777777" w:rsidR="00F95C8B" w:rsidRPr="00F95C8B" w:rsidRDefault="00F95C8B" w:rsidP="007F377B">
            <w:pPr>
              <w:jc w:val="both"/>
              <w:rPr>
                <w:color w:val="auto"/>
              </w:rPr>
            </w:pPr>
          </w:p>
          <w:p w14:paraId="168E6930" w14:textId="77777777" w:rsidR="00F95C8B" w:rsidRPr="00F95C8B" w:rsidRDefault="00DB4CF8" w:rsidP="007F377B">
            <w:pPr>
              <w:ind w:left="0" w:firstLine="0"/>
              <w:jc w:val="both"/>
              <w:rPr>
                <w:color w:val="auto"/>
              </w:rPr>
            </w:pPr>
            <w:r>
              <w:rPr>
                <w:color w:val="auto"/>
              </w:rPr>
              <w:t>The Lancashire Enterprise Partnership Board is asked to note that all outstanding issues from prior Annual Perfor</w:t>
            </w:r>
            <w:r>
              <w:rPr>
                <w:color w:val="auto"/>
              </w:rPr>
              <w:t xml:space="preserve">mance Reviews have been addressed or suspended, and that the LEP </w:t>
            </w:r>
            <w:r w:rsidR="00FF7F0D">
              <w:rPr>
                <w:color w:val="auto"/>
              </w:rPr>
              <w:t>has remained compliant in terms of governance and prior concerns in terms of Growth Programmes and Strategic Impact have been addressed.</w:t>
            </w:r>
          </w:p>
          <w:p w14:paraId="70660EDB" w14:textId="77777777" w:rsidR="00F95C8B" w:rsidRDefault="00F95C8B" w:rsidP="00841251"/>
        </w:tc>
      </w:tr>
    </w:tbl>
    <w:p w14:paraId="51016462" w14:textId="729ACADB" w:rsidR="00A3358A" w:rsidRPr="00DB4CF8" w:rsidRDefault="00DB4CF8" w:rsidP="00CF1133">
      <w:pPr>
        <w:spacing w:after="0" w:line="256" w:lineRule="auto"/>
        <w:ind w:left="0" w:firstLine="0"/>
        <w:rPr>
          <w:b/>
          <w:bCs/>
        </w:rPr>
      </w:pPr>
      <w:r>
        <w:br/>
      </w:r>
      <w:r w:rsidRPr="00DB4CF8">
        <w:rPr>
          <w:b/>
          <w:bCs/>
        </w:rPr>
        <w:t>Background and Advice</w:t>
      </w:r>
    </w:p>
    <w:p w14:paraId="376530C4" w14:textId="400C96C3" w:rsidR="00DB4CF8" w:rsidRDefault="00DB4CF8" w:rsidP="00CF1133">
      <w:pPr>
        <w:spacing w:after="0" w:line="256" w:lineRule="auto"/>
        <w:ind w:left="0" w:firstLine="0"/>
      </w:pPr>
    </w:p>
    <w:p w14:paraId="3E007C39" w14:textId="09D58EE1" w:rsidR="00DB4CF8" w:rsidRDefault="00DB4CF8" w:rsidP="00CF1133">
      <w:pPr>
        <w:spacing w:after="0" w:line="256" w:lineRule="auto"/>
        <w:ind w:left="0" w:firstLine="0"/>
      </w:pPr>
      <w:r>
        <w:t>Appendix 'A' refers</w:t>
      </w:r>
    </w:p>
    <w:p w14:paraId="60D713A5" w14:textId="77777777" w:rsidR="00DB4CF8" w:rsidRDefault="00DB4CF8" w:rsidP="00CF1133">
      <w:pPr>
        <w:spacing w:after="0" w:line="256" w:lineRule="auto"/>
        <w:ind w:left="0" w:firstLine="0"/>
      </w:pPr>
    </w:p>
    <w:p w14:paraId="3D74EA8E" w14:textId="77777777" w:rsidR="00EE5B17" w:rsidRPr="00AB6785" w:rsidRDefault="00DB4CF8" w:rsidP="00EE5B17">
      <w:pPr>
        <w:pStyle w:val="Heading5"/>
        <w:rPr>
          <w:rFonts w:ascii="Arial" w:hAnsi="Arial"/>
          <w:b/>
          <w:color w:val="auto"/>
        </w:rPr>
      </w:pPr>
      <w:r w:rsidRPr="00AB6785">
        <w:rPr>
          <w:rFonts w:ascii="Arial" w:hAnsi="Arial"/>
          <w:b/>
          <w:color w:val="auto"/>
        </w:rPr>
        <w:t>List of Background Papers</w:t>
      </w:r>
    </w:p>
    <w:p w14:paraId="49571317" w14:textId="77777777" w:rsidR="00EE5B17" w:rsidRDefault="00EE5B17" w:rsidP="00EE5B17"/>
    <w:tbl>
      <w:tblPr>
        <w:tblW w:w="9180" w:type="dxa"/>
        <w:tblLayout w:type="fixed"/>
        <w:tblLook w:val="0000" w:firstRow="0" w:lastRow="0" w:firstColumn="0" w:lastColumn="0" w:noHBand="0" w:noVBand="0"/>
      </w:tblPr>
      <w:tblGrid>
        <w:gridCol w:w="3510"/>
        <w:gridCol w:w="2492"/>
        <w:gridCol w:w="3178"/>
      </w:tblGrid>
      <w:tr w:rsidR="006B24A6" w14:paraId="5B0CD34F" w14:textId="77777777" w:rsidTr="00BF4E61">
        <w:tc>
          <w:tcPr>
            <w:tcW w:w="3510" w:type="dxa"/>
          </w:tcPr>
          <w:p w14:paraId="2C843A77" w14:textId="77777777" w:rsidR="00EE5B17" w:rsidRDefault="00DB4CF8" w:rsidP="00BF4E61">
            <w:pPr>
              <w:pStyle w:val="Heading7"/>
              <w:rPr>
                <w:rFonts w:ascii="Arial" w:hAnsi="Arial" w:cs="Arial"/>
                <w:i w:val="0"/>
                <w:color w:val="auto"/>
              </w:rPr>
            </w:pPr>
            <w:r w:rsidRPr="00AB6785">
              <w:rPr>
                <w:rFonts w:ascii="Arial" w:hAnsi="Arial" w:cs="Arial"/>
                <w:i w:val="0"/>
                <w:color w:val="auto"/>
              </w:rPr>
              <w:t>Paper</w:t>
            </w:r>
          </w:p>
          <w:p w14:paraId="67C3AA4A" w14:textId="77777777" w:rsidR="00EE5B17" w:rsidRPr="00B65276" w:rsidRDefault="00EE5B17" w:rsidP="00BF4E61"/>
        </w:tc>
        <w:tc>
          <w:tcPr>
            <w:tcW w:w="2492" w:type="dxa"/>
          </w:tcPr>
          <w:p w14:paraId="5868C886" w14:textId="77777777" w:rsidR="00EE5B17" w:rsidRPr="00AB6785" w:rsidRDefault="00DB4CF8" w:rsidP="00BF4E61">
            <w:pPr>
              <w:pStyle w:val="Heading7"/>
              <w:rPr>
                <w:rFonts w:ascii="Arial" w:hAnsi="Arial" w:cs="Arial"/>
                <w:i w:val="0"/>
                <w:color w:val="auto"/>
              </w:rPr>
            </w:pPr>
            <w:r w:rsidRPr="00AB6785">
              <w:rPr>
                <w:rFonts w:ascii="Arial" w:hAnsi="Arial" w:cs="Arial"/>
                <w:i w:val="0"/>
                <w:color w:val="auto"/>
              </w:rPr>
              <w:t>Date</w:t>
            </w:r>
          </w:p>
        </w:tc>
        <w:tc>
          <w:tcPr>
            <w:tcW w:w="3178" w:type="dxa"/>
          </w:tcPr>
          <w:p w14:paraId="46E1AF3F" w14:textId="77777777" w:rsidR="00EE5B17" w:rsidRPr="00AB6785" w:rsidRDefault="00DB4CF8" w:rsidP="00BF4E61">
            <w:pPr>
              <w:pStyle w:val="Heading7"/>
              <w:rPr>
                <w:rFonts w:ascii="Arial" w:hAnsi="Arial" w:cs="Arial"/>
                <w:i w:val="0"/>
                <w:color w:val="auto"/>
              </w:rPr>
            </w:pPr>
            <w:r w:rsidRPr="00AB6785">
              <w:rPr>
                <w:rFonts w:ascii="Arial" w:hAnsi="Arial" w:cs="Arial"/>
                <w:i w:val="0"/>
                <w:color w:val="auto"/>
              </w:rPr>
              <w:t>Contact/Tel</w:t>
            </w:r>
          </w:p>
        </w:tc>
      </w:tr>
      <w:tr w:rsidR="006B24A6" w14:paraId="0DF63944" w14:textId="77777777" w:rsidTr="00BF4E61">
        <w:tc>
          <w:tcPr>
            <w:tcW w:w="3510" w:type="dxa"/>
          </w:tcPr>
          <w:p w14:paraId="16136C39" w14:textId="77777777" w:rsidR="00EE5B17" w:rsidRPr="00AB6785" w:rsidRDefault="00DB4CF8" w:rsidP="00BF4E61">
            <w:pPr>
              <w:ind w:left="0" w:firstLine="0"/>
              <w:rPr>
                <w:color w:val="auto"/>
              </w:rPr>
            </w:pPr>
            <w:r>
              <w:rPr>
                <w:color w:val="auto"/>
              </w:rPr>
              <w:t>None</w:t>
            </w:r>
          </w:p>
        </w:tc>
        <w:tc>
          <w:tcPr>
            <w:tcW w:w="2492" w:type="dxa"/>
          </w:tcPr>
          <w:p w14:paraId="022B771D" w14:textId="77777777" w:rsidR="00EE5B17" w:rsidRPr="00AB6785" w:rsidRDefault="00DB4CF8" w:rsidP="00BF4E61">
            <w:pPr>
              <w:rPr>
                <w:color w:val="auto"/>
              </w:rPr>
            </w:pPr>
            <w:r>
              <w:rPr>
                <w:color w:val="auto"/>
              </w:rPr>
              <w:t>N/A</w:t>
            </w:r>
          </w:p>
        </w:tc>
        <w:tc>
          <w:tcPr>
            <w:tcW w:w="3178" w:type="dxa"/>
          </w:tcPr>
          <w:p w14:paraId="5885540C" w14:textId="77777777" w:rsidR="00EE5B17" w:rsidRPr="00AB6785" w:rsidRDefault="00DB4CF8" w:rsidP="00BF4E61">
            <w:pPr>
              <w:rPr>
                <w:color w:val="auto"/>
              </w:rPr>
            </w:pPr>
            <w:r>
              <w:rPr>
                <w:color w:val="auto"/>
              </w:rPr>
              <w:t>N/A</w:t>
            </w:r>
          </w:p>
        </w:tc>
      </w:tr>
      <w:tr w:rsidR="006B24A6" w14:paraId="321EFF98" w14:textId="77777777" w:rsidTr="00BF4E61">
        <w:trPr>
          <w:cantSplit/>
        </w:trPr>
        <w:tc>
          <w:tcPr>
            <w:tcW w:w="9180" w:type="dxa"/>
            <w:gridSpan w:val="3"/>
          </w:tcPr>
          <w:p w14:paraId="39FF9535" w14:textId="77777777" w:rsidR="00EE5B17" w:rsidRDefault="00EE5B17" w:rsidP="00BF4E61"/>
          <w:p w14:paraId="1D0BF23D" w14:textId="77777777" w:rsidR="00EE5B17" w:rsidRDefault="00EE5B17" w:rsidP="00BF4E61"/>
          <w:p w14:paraId="6E58DBC9" w14:textId="77777777" w:rsidR="00EE5B17" w:rsidRDefault="00DB4CF8" w:rsidP="00BF4E61">
            <w:r>
              <w:t xml:space="preserve">Reason for inclusion in Part II, if appropriate </w:t>
            </w:r>
          </w:p>
          <w:p w14:paraId="61F48EC0" w14:textId="77777777" w:rsidR="00EE5B17" w:rsidRDefault="00EE5B17" w:rsidP="00BF4E61"/>
          <w:p w14:paraId="7E1548C4" w14:textId="77777777" w:rsidR="00EE5B17" w:rsidRPr="00F95C8B" w:rsidRDefault="00DB4CF8" w:rsidP="00BF4E61">
            <w:pPr>
              <w:ind w:left="0" w:firstLine="0"/>
              <w:rPr>
                <w:color w:val="auto"/>
              </w:rPr>
            </w:pPr>
            <w:r>
              <w:rPr>
                <w:color w:val="auto"/>
              </w:rPr>
              <w:t>N/A</w:t>
            </w:r>
          </w:p>
          <w:p w14:paraId="1195926C" w14:textId="77777777" w:rsidR="00EE5B17" w:rsidRDefault="00EE5B17" w:rsidP="00BF4E61">
            <w:pPr>
              <w:jc w:val="both"/>
            </w:pPr>
          </w:p>
        </w:tc>
      </w:tr>
    </w:tbl>
    <w:p w14:paraId="6A403332" w14:textId="77777777" w:rsidR="00EE5B17" w:rsidRDefault="00EE5B17" w:rsidP="00EE5B17"/>
    <w:p w14:paraId="3BF90238" w14:textId="77777777" w:rsidR="00EE5B17" w:rsidRDefault="00EE5B17" w:rsidP="00CF1133">
      <w:pPr>
        <w:spacing w:after="0" w:line="256" w:lineRule="auto"/>
        <w:ind w:left="0" w:firstLine="0"/>
      </w:pPr>
    </w:p>
    <w:sectPr w:rsidR="00EE5B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67F0" w14:textId="77777777" w:rsidR="00000000" w:rsidRDefault="00DB4CF8">
      <w:pPr>
        <w:spacing w:after="0" w:line="240" w:lineRule="auto"/>
      </w:pPr>
      <w:r>
        <w:separator/>
      </w:r>
    </w:p>
  </w:endnote>
  <w:endnote w:type="continuationSeparator" w:id="0">
    <w:p w14:paraId="029EC109" w14:textId="77777777" w:rsidR="00000000" w:rsidRDefault="00DB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CA46" w14:textId="77777777" w:rsidR="00000000" w:rsidRDefault="00DB4CF8">
      <w:pPr>
        <w:spacing w:after="0" w:line="240" w:lineRule="auto"/>
      </w:pPr>
      <w:r>
        <w:separator/>
      </w:r>
    </w:p>
  </w:footnote>
  <w:footnote w:type="continuationSeparator" w:id="0">
    <w:p w14:paraId="5C272CF1" w14:textId="77777777" w:rsidR="00000000" w:rsidRDefault="00DB4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1E23" w14:textId="77777777" w:rsidR="00CF1133" w:rsidRDefault="00DB4CF8">
    <w:pPr>
      <w:pStyle w:val="Header"/>
    </w:pPr>
    <w:r>
      <w:rPr>
        <w:noProof/>
      </w:rPr>
      <w:drawing>
        <wp:anchor distT="0" distB="0" distL="114300" distR="114300" simplePos="0" relativeHeight="251658240" behindDoc="0" locked="0" layoutInCell="1" allowOverlap="1" wp14:anchorId="76AEDC54" wp14:editId="2D4766C5">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381974"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E8A246B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CBECD83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AB8532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2734654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DF70558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5860E89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B2C908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8A0D14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0CE06B1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16cid:durableId="1081021801">
    <w:abstractNumId w:val="1"/>
  </w:num>
  <w:num w:numId="2" w16cid:durableId="591856413">
    <w:abstractNumId w:val="0"/>
  </w:num>
  <w:num w:numId="3" w16cid:durableId="452556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113335"/>
    <w:rsid w:val="00145322"/>
    <w:rsid w:val="001616A7"/>
    <w:rsid w:val="001F5AEF"/>
    <w:rsid w:val="00284E9F"/>
    <w:rsid w:val="002B49F2"/>
    <w:rsid w:val="002E69BD"/>
    <w:rsid w:val="0030005B"/>
    <w:rsid w:val="0035233C"/>
    <w:rsid w:val="00386D34"/>
    <w:rsid w:val="003B18C2"/>
    <w:rsid w:val="003C4FFC"/>
    <w:rsid w:val="004176B4"/>
    <w:rsid w:val="00434CCE"/>
    <w:rsid w:val="005206EF"/>
    <w:rsid w:val="005D0C06"/>
    <w:rsid w:val="005D7059"/>
    <w:rsid w:val="006B24A6"/>
    <w:rsid w:val="006C0636"/>
    <w:rsid w:val="006D629C"/>
    <w:rsid w:val="00727978"/>
    <w:rsid w:val="007A7CEE"/>
    <w:rsid w:val="007D5F5A"/>
    <w:rsid w:val="007F377B"/>
    <w:rsid w:val="00841251"/>
    <w:rsid w:val="00870C84"/>
    <w:rsid w:val="008D7B94"/>
    <w:rsid w:val="0096218F"/>
    <w:rsid w:val="00A3358A"/>
    <w:rsid w:val="00A77D99"/>
    <w:rsid w:val="00AB6785"/>
    <w:rsid w:val="00B13ACE"/>
    <w:rsid w:val="00B25A7B"/>
    <w:rsid w:val="00B439EA"/>
    <w:rsid w:val="00B65276"/>
    <w:rsid w:val="00BC4466"/>
    <w:rsid w:val="00BF4E61"/>
    <w:rsid w:val="00C52160"/>
    <w:rsid w:val="00CD3B45"/>
    <w:rsid w:val="00CF1133"/>
    <w:rsid w:val="00D45EFD"/>
    <w:rsid w:val="00D7480F"/>
    <w:rsid w:val="00DB4CF8"/>
    <w:rsid w:val="00E028A7"/>
    <w:rsid w:val="00E60319"/>
    <w:rsid w:val="00EE5B17"/>
    <w:rsid w:val="00F01FE2"/>
    <w:rsid w:val="00F41096"/>
    <w:rsid w:val="00F95C8B"/>
    <w:rsid w:val="00FD7466"/>
    <w:rsid w:val="00FF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DDE"/>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Revision">
    <w:name w:val="Revision"/>
    <w:hidden/>
    <w:uiPriority w:val="99"/>
    <w:semiHidden/>
    <w:rsid w:val="00EE5B17"/>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13</cp:revision>
  <dcterms:created xsi:type="dcterms:W3CDTF">2014-12-03T08:17:00Z</dcterms:created>
  <dcterms:modified xsi:type="dcterms:W3CDTF">2023-03-20T09:50:00Z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Annual Performance Review 2023-24</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Tuesday, 21 March 2023</vt:lpwstr>
  </property>
</Properties>
</file>